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85"/>
      </w:tblGrid>
      <w:tr w:rsidR="00AD065D" w:rsidRPr="002B6D7D" w:rsidTr="001E2F33">
        <w:tc>
          <w:tcPr>
            <w:tcW w:w="6204" w:type="dxa"/>
          </w:tcPr>
          <w:p w:rsidR="00AD065D" w:rsidRPr="002B6D7D" w:rsidRDefault="00AD065D">
            <w:pPr>
              <w:rPr>
                <w:color w:val="171A1E" w:themeColor="text1" w:themeShade="80"/>
              </w:rPr>
            </w:pPr>
          </w:p>
        </w:tc>
        <w:tc>
          <w:tcPr>
            <w:tcW w:w="3685" w:type="dxa"/>
          </w:tcPr>
          <w:p w:rsidR="00AD065D" w:rsidRPr="002B6D7D" w:rsidRDefault="00AD065D" w:rsidP="001E2F33">
            <w:pPr>
              <w:ind w:right="33"/>
              <w:rPr>
                <w:rFonts w:ascii="Times New Roman" w:hAnsi="Times New Roman" w:cs="Times New Roman"/>
                <w:color w:val="171A1E" w:themeColor="text1" w:themeShade="80"/>
                <w:sz w:val="24"/>
                <w:szCs w:val="24"/>
              </w:rPr>
            </w:pPr>
            <w:r w:rsidRPr="002B6D7D">
              <w:rPr>
                <w:rFonts w:ascii="Times New Roman" w:hAnsi="Times New Roman" w:cs="Times New Roman"/>
                <w:color w:val="171A1E" w:themeColor="text1" w:themeShade="80"/>
                <w:sz w:val="24"/>
                <w:szCs w:val="24"/>
              </w:rPr>
              <w:t>Додаток  1</w:t>
            </w:r>
          </w:p>
          <w:p w:rsidR="00AD065D" w:rsidRPr="002B6D7D" w:rsidRDefault="00AD065D" w:rsidP="001E2F33">
            <w:pPr>
              <w:ind w:right="-108"/>
              <w:rPr>
                <w:color w:val="171A1E" w:themeColor="text1" w:themeShade="80"/>
              </w:rPr>
            </w:pPr>
            <w:r w:rsidRPr="002B6D7D">
              <w:rPr>
                <w:rFonts w:ascii="Times New Roman" w:hAnsi="Times New Roman" w:cs="Times New Roman"/>
                <w:color w:val="171A1E" w:themeColor="text1" w:themeShade="80"/>
                <w:sz w:val="24"/>
                <w:szCs w:val="24"/>
              </w:rPr>
              <w:t>до аналізу регуляторного впливу</w:t>
            </w:r>
          </w:p>
        </w:tc>
      </w:tr>
    </w:tbl>
    <w:p w:rsidR="00A113BC" w:rsidRPr="002B6D7D" w:rsidRDefault="00A113BC">
      <w:pPr>
        <w:rPr>
          <w:rFonts w:ascii="Times New Roman" w:hAnsi="Times New Roman" w:cs="Times New Roman"/>
          <w:color w:val="171A1E" w:themeColor="text1" w:themeShade="80"/>
        </w:rPr>
      </w:pPr>
    </w:p>
    <w:p w:rsidR="00654EDD" w:rsidRDefault="00654EDD" w:rsidP="00D44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</w:pPr>
    </w:p>
    <w:p w:rsidR="00D445D2" w:rsidRPr="002B6D7D" w:rsidRDefault="00AD065D" w:rsidP="00D44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</w:pPr>
      <w:r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>ВИТРАТИ</w:t>
      </w:r>
    </w:p>
    <w:p w:rsidR="00AD065D" w:rsidRPr="002B6D7D" w:rsidRDefault="00AD065D" w:rsidP="00D44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</w:pPr>
      <w:r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 xml:space="preserve">на одного суб’єкта господарювання великого і середнього підприємництва, </w:t>
      </w:r>
      <w:r w:rsidR="00D445D2"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 xml:space="preserve">      </w:t>
      </w:r>
      <w:r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>які виникають внаслідок дії регуляторного акта</w:t>
      </w:r>
    </w:p>
    <w:p w:rsidR="00D445D2" w:rsidRPr="002B6D7D" w:rsidRDefault="00D445D2" w:rsidP="00B060E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</w:pPr>
      <w:r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>за Альтернативою 2</w:t>
      </w:r>
      <w:r w:rsidR="000D4EEC"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 xml:space="preserve"> (п</w:t>
      </w:r>
      <w:r w:rsidR="000D4EEC" w:rsidRPr="002B6D7D">
        <w:rPr>
          <w:rFonts w:ascii="Times New Roman" w:hAnsi="Times New Roman" w:cs="Times New Roman"/>
          <w:b/>
          <w:color w:val="171A1E" w:themeColor="text1" w:themeShade="80"/>
          <w:sz w:val="26"/>
          <w:szCs w:val="26"/>
        </w:rPr>
        <w:t xml:space="preserve">рийняття проєкту </w:t>
      </w:r>
      <w:r w:rsidR="000D4EEC" w:rsidRPr="002B6D7D">
        <w:rPr>
          <w:rFonts w:ascii="Times New Roman" w:hAnsi="Times New Roman" w:cs="Times New Roman"/>
          <w:b/>
          <w:bCs/>
          <w:iCs/>
          <w:color w:val="171A1E" w:themeColor="text1" w:themeShade="80"/>
          <w:sz w:val="26"/>
          <w:szCs w:val="26"/>
          <w:lang w:eastAsia="ru-RU"/>
        </w:rPr>
        <w:t>регуляторного акта</w:t>
      </w:r>
      <w:r w:rsidR="000D4EEC"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>)</w:t>
      </w:r>
    </w:p>
    <w:tbl>
      <w:tblPr>
        <w:tblW w:w="5000" w:type="pct"/>
        <w:jc w:val="center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78"/>
        <w:gridCol w:w="5819"/>
        <w:gridCol w:w="1183"/>
        <w:gridCol w:w="1183"/>
      </w:tblGrid>
      <w:tr w:rsidR="00F32883" w:rsidRPr="002B6D7D" w:rsidTr="00654EDD">
        <w:trPr>
          <w:jc w:val="center"/>
        </w:trPr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bookmarkStart w:id="0" w:name="n178"/>
            <w:bookmarkEnd w:id="0"/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За перший рік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За п’ять років</w:t>
            </w:r>
          </w:p>
        </w:tc>
      </w:tr>
      <w:tr w:rsidR="00B060ED" w:rsidRPr="002B6D7D" w:rsidTr="00654EDD">
        <w:trPr>
          <w:jc w:val="center"/>
        </w:trPr>
        <w:tc>
          <w:tcPr>
            <w:tcW w:w="76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1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придбання основних фондів, обладнання та приладів, сервісне обслуговування, навчання</w:t>
            </w:r>
            <w:r w:rsidR="0045560C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/</w:t>
            </w:r>
            <w:r w:rsidR="0045560C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підвищення кваліфікації персоналу тощо, гривень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EC78E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EC78E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EC78E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EC78E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та інших послуг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(проведення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наукових, інших експертиз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, страхування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тощо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84596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84596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360,00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із наймом додаткового персоналу,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Інше (</w:t>
            </w:r>
            <w:r w:rsidR="00D43CAC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опрацювання та підписання договору на отримання послуги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43CAC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124,40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43CAC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622,00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РАЗОМ (сума рядків: 1 + 2 + 3 + 4 + 5 + 6 + 7 + 8),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3D13EA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196,40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3D13EA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982,00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895B8C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895B8C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359</w:t>
            </w:r>
          </w:p>
        </w:tc>
      </w:tr>
      <w:tr w:rsidR="00AD065D" w:rsidRPr="002B6D7D" w:rsidTr="00654EDD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9E4D66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70 507,60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9E4D66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352 538,00</w:t>
            </w:r>
          </w:p>
        </w:tc>
      </w:tr>
    </w:tbl>
    <w:p w:rsidR="00654EDD" w:rsidRPr="00654EDD" w:rsidRDefault="00654EDD">
      <w:pPr>
        <w:rPr>
          <w:sz w:val="14"/>
          <w:szCs w:val="14"/>
        </w:rPr>
      </w:pPr>
    </w:p>
    <w:p w:rsidR="00654EDD" w:rsidRPr="00654EDD" w:rsidRDefault="00654EDD">
      <w:pPr>
        <w:rPr>
          <w:sz w:val="14"/>
          <w:szCs w:val="14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7"/>
        <w:gridCol w:w="4992"/>
      </w:tblGrid>
      <w:tr w:rsidR="00890372" w:rsidRPr="002B6D7D" w:rsidTr="00FF5FB5">
        <w:tc>
          <w:tcPr>
            <w:tcW w:w="4647" w:type="dxa"/>
          </w:tcPr>
          <w:p w:rsidR="00890372" w:rsidRPr="002B6D7D" w:rsidRDefault="00890372" w:rsidP="00D317D0">
            <w:pPr>
              <w:ind w:right="450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bookmarkStart w:id="1" w:name="n179"/>
            <w:bookmarkEnd w:id="1"/>
          </w:p>
        </w:tc>
        <w:tc>
          <w:tcPr>
            <w:tcW w:w="4992" w:type="dxa"/>
          </w:tcPr>
          <w:p w:rsidR="00890372" w:rsidRPr="002B6D7D" w:rsidRDefault="00890372" w:rsidP="001E2F33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Продовження додатка 1</w:t>
            </w:r>
          </w:p>
        </w:tc>
      </w:tr>
    </w:tbl>
    <w:p w:rsidR="00890372" w:rsidRPr="002B6D7D" w:rsidRDefault="00890372" w:rsidP="002647F8">
      <w:pPr>
        <w:shd w:val="clear" w:color="auto" w:fill="FFFFFF"/>
        <w:spacing w:after="240" w:line="240" w:lineRule="auto"/>
        <w:ind w:left="450" w:right="450"/>
        <w:jc w:val="center"/>
        <w:rPr>
          <w:rFonts w:ascii="Times New Roman" w:eastAsia="Times New Roman" w:hAnsi="Times New Roman" w:cs="Times New Roman"/>
          <w:color w:val="171A1E" w:themeColor="text1" w:themeShade="80"/>
          <w:kern w:val="0"/>
          <w:sz w:val="24"/>
          <w:szCs w:val="24"/>
          <w:lang w:eastAsia="uk-UA"/>
        </w:rPr>
      </w:pPr>
    </w:p>
    <w:p w:rsidR="00AD065D" w:rsidRPr="000C2646" w:rsidRDefault="00AD065D" w:rsidP="00F52291">
      <w:pPr>
        <w:shd w:val="clear" w:color="auto" w:fill="FFFFFF"/>
        <w:tabs>
          <w:tab w:val="left" w:pos="9639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71A1E" w:themeColor="text1" w:themeShade="80"/>
          <w:kern w:val="0"/>
          <w:sz w:val="26"/>
          <w:szCs w:val="26"/>
          <w:lang w:eastAsia="uk-UA"/>
        </w:rPr>
      </w:pPr>
      <w:r w:rsidRPr="000C2646">
        <w:rPr>
          <w:rFonts w:ascii="Times New Roman" w:eastAsia="Times New Roman" w:hAnsi="Times New Roman" w:cs="Times New Roman"/>
          <w:b/>
          <w:color w:val="171A1E" w:themeColor="text1" w:themeShade="80"/>
          <w:kern w:val="0"/>
          <w:sz w:val="26"/>
          <w:szCs w:val="26"/>
          <w:lang w:eastAsia="uk-UA"/>
        </w:rPr>
        <w:t>Розрахунок відповідних витрат на одного суб’єкта господарювання</w:t>
      </w: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683"/>
        <w:gridCol w:w="1693"/>
        <w:gridCol w:w="1693"/>
        <w:gridCol w:w="1594"/>
      </w:tblGrid>
      <w:tr w:rsidR="00AD065D" w:rsidRPr="002B6D7D" w:rsidTr="00322931"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bookmarkStart w:id="2" w:name="n180"/>
            <w:bookmarkEnd w:id="2"/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У перший рік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65D" w:rsidRPr="002B6D7D" w:rsidRDefault="00AD065D" w:rsidP="00654EDD">
            <w:pPr>
              <w:pStyle w:val="af3"/>
              <w:spacing w:before="60" w:after="60"/>
              <w:jc w:val="center"/>
              <w:rPr>
                <w:kern w:val="0"/>
                <w:lang w:eastAsia="uk-UA"/>
              </w:rPr>
            </w:pPr>
            <w:r w:rsidRPr="00B700A2">
              <w:rPr>
                <w:rFonts w:ascii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Періодичні</w:t>
            </w:r>
            <w:r w:rsidR="001055E0">
              <w:rPr>
                <w:rFonts w:ascii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val="en-US" w:eastAsia="uk-UA"/>
              </w:rPr>
              <w:t xml:space="preserve">     </w:t>
            </w:r>
            <w:r w:rsidRPr="00B700A2">
              <w:rPr>
                <w:rFonts w:ascii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(за рік)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AD065D" w:rsidRPr="002B6D7D" w:rsidTr="00322931">
        <w:tc>
          <w:tcPr>
            <w:tcW w:w="235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130" w:right="120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04364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04364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04364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740293" w:rsidRDefault="00740293" w:rsidP="00A300F2">
      <w:pPr>
        <w:pStyle w:val="af3"/>
        <w:jc w:val="center"/>
        <w:rPr>
          <w:rFonts w:ascii="Times New Roman" w:hAnsi="Times New Roman" w:cs="Times New Roman"/>
          <w:color w:val="171A1E" w:themeColor="text1" w:themeShade="80"/>
          <w:sz w:val="24"/>
          <w:szCs w:val="24"/>
          <w:lang w:val="en-US"/>
        </w:rPr>
        <w:sectPr w:rsidR="00740293" w:rsidSect="00D04364">
          <w:headerReference w:type="default" r:id="rId7"/>
          <w:headerReference w:type="first" r:id="rId8"/>
          <w:pgSz w:w="11906" w:h="16838"/>
          <w:pgMar w:top="850" w:right="850" w:bottom="850" w:left="1417" w:header="680" w:footer="680" w:gutter="0"/>
          <w:cols w:space="708"/>
          <w:titlePg/>
          <w:docGrid w:linePitch="360"/>
        </w:sectPr>
      </w:pPr>
      <w:bookmarkStart w:id="3" w:name="n181"/>
      <w:bookmarkEnd w:id="3"/>
    </w:p>
    <w:p w:rsidR="00654EDD" w:rsidRPr="00654EDD" w:rsidRDefault="00654EDD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66"/>
        <w:gridCol w:w="3544"/>
        <w:gridCol w:w="1853"/>
      </w:tblGrid>
      <w:tr w:rsidR="00AD065D" w:rsidRPr="002B6D7D" w:rsidTr="00322931"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1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AD065D" w:rsidRPr="002B6D7D" w:rsidTr="00322931">
        <w:tc>
          <w:tcPr>
            <w:tcW w:w="220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130" w:right="117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183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04364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04364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740293" w:rsidRDefault="00740293" w:rsidP="00A30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171A1E" w:themeColor="text1" w:themeShade="80"/>
          <w:kern w:val="0"/>
          <w:sz w:val="24"/>
          <w:szCs w:val="24"/>
          <w:lang w:val="ru-RU" w:eastAsia="uk-UA"/>
        </w:rPr>
        <w:sectPr w:rsidR="00740293" w:rsidSect="00740293">
          <w:type w:val="continuous"/>
          <w:pgSz w:w="11906" w:h="16838"/>
          <w:pgMar w:top="850" w:right="850" w:bottom="850" w:left="1417" w:header="680" w:footer="680" w:gutter="0"/>
          <w:cols w:space="708"/>
          <w:titlePg/>
          <w:docGrid w:linePitch="360"/>
        </w:sectPr>
      </w:pPr>
      <w:bookmarkStart w:id="4" w:name="n182"/>
      <w:bookmarkEnd w:id="4"/>
    </w:p>
    <w:p w:rsidR="00654EDD" w:rsidRPr="00654EDD" w:rsidRDefault="00654EDD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961"/>
        <w:gridCol w:w="1774"/>
        <w:gridCol w:w="1774"/>
        <w:gridCol w:w="1676"/>
        <w:gridCol w:w="1478"/>
      </w:tblGrid>
      <w:tr w:rsidR="00AD065D" w:rsidRPr="002B6D7D" w:rsidTr="00322931"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ведення обліку, підготовку та подання звітності (за рік)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оплату штрафних санкцій за рік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AD065D" w:rsidRPr="002B6D7D" w:rsidTr="00322931">
        <w:tc>
          <w:tcPr>
            <w:tcW w:w="153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130" w:right="105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45CB8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45CB8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45CB8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D45CB8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740293" w:rsidRDefault="00740293" w:rsidP="00A300F2">
      <w:pPr>
        <w:pStyle w:val="af3"/>
        <w:jc w:val="center"/>
        <w:rPr>
          <w:rFonts w:ascii="Times New Roman" w:hAnsi="Times New Roman" w:cs="Times New Roman"/>
          <w:color w:val="171A1E" w:themeColor="text1" w:themeShade="80"/>
          <w:sz w:val="24"/>
          <w:szCs w:val="24"/>
          <w:lang w:val="en-US" w:eastAsia="uk-UA"/>
        </w:rPr>
        <w:sectPr w:rsidR="00740293" w:rsidSect="00740293">
          <w:type w:val="continuous"/>
          <w:pgSz w:w="11906" w:h="16838"/>
          <w:pgMar w:top="850" w:right="850" w:bottom="850" w:left="1417" w:header="680" w:footer="680" w:gutter="0"/>
          <w:cols w:space="708"/>
          <w:titlePg/>
          <w:docGrid w:linePitch="360"/>
        </w:sectPr>
      </w:pPr>
      <w:bookmarkStart w:id="5" w:name="n183"/>
      <w:bookmarkEnd w:id="5"/>
    </w:p>
    <w:p w:rsidR="00654EDD" w:rsidRPr="00654EDD" w:rsidRDefault="00654EDD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058"/>
        <w:gridCol w:w="2367"/>
        <w:gridCol w:w="1676"/>
        <w:gridCol w:w="1281"/>
        <w:gridCol w:w="1281"/>
      </w:tblGrid>
      <w:tr w:rsidR="00AD065D" w:rsidRPr="002B6D7D" w:rsidTr="00740293">
        <w:tc>
          <w:tcPr>
            <w:tcW w:w="1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bookmarkStart w:id="6" w:name="n184"/>
            <w:bookmarkEnd w:id="6"/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AD065D" w:rsidRPr="002B6D7D" w:rsidTr="00740293">
        <w:tc>
          <w:tcPr>
            <w:tcW w:w="158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54EDD">
            <w:pPr>
              <w:spacing w:before="60" w:after="60" w:line="240" w:lineRule="auto"/>
              <w:ind w:left="130" w:right="201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</w:t>
            </w:r>
            <w:r w:rsidR="00DB54CF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val="ru-RU" w:eastAsia="uk-UA"/>
              </w:rPr>
              <w:t xml:space="preserve">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/ приписів тощо)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11DE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11DE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11DE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11DE0" w:rsidP="00654E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654EDD" w:rsidRPr="00654EDD" w:rsidRDefault="00654EDD">
      <w:pPr>
        <w:rPr>
          <w:sz w:val="14"/>
          <w:szCs w:val="14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7"/>
        <w:gridCol w:w="4992"/>
      </w:tblGrid>
      <w:tr w:rsidR="007177BE" w:rsidRPr="002B6D7D" w:rsidTr="00D8403A">
        <w:tc>
          <w:tcPr>
            <w:tcW w:w="4647" w:type="dxa"/>
          </w:tcPr>
          <w:p w:rsidR="007177BE" w:rsidRPr="002B6D7D" w:rsidRDefault="007177BE" w:rsidP="00D317D0">
            <w:pPr>
              <w:ind w:right="450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992" w:type="dxa"/>
          </w:tcPr>
          <w:p w:rsidR="007177BE" w:rsidRPr="002B6D7D" w:rsidRDefault="007177BE" w:rsidP="00D8403A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Продовження додатка 1</w:t>
            </w:r>
          </w:p>
        </w:tc>
      </w:tr>
    </w:tbl>
    <w:p w:rsidR="00740293" w:rsidRDefault="00740293">
      <w:pPr>
        <w:rPr>
          <w:rFonts w:ascii="Times New Roman" w:hAnsi="Times New Roman" w:cs="Times New Roman"/>
          <w:sz w:val="24"/>
          <w:szCs w:val="24"/>
        </w:rPr>
        <w:sectPr w:rsidR="00740293" w:rsidSect="00740293">
          <w:type w:val="continuous"/>
          <w:pgSz w:w="11906" w:h="16838"/>
          <w:pgMar w:top="850" w:right="850" w:bottom="850" w:left="1417" w:header="680" w:footer="680" w:gutter="0"/>
          <w:cols w:space="708"/>
          <w:titlePg/>
          <w:docGrid w:linePitch="360"/>
        </w:sectPr>
      </w:pPr>
    </w:p>
    <w:p w:rsidR="00654EDD" w:rsidRPr="00654EDD" w:rsidRDefault="00654EDD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697"/>
        <w:gridCol w:w="2418"/>
        <w:gridCol w:w="1993"/>
        <w:gridCol w:w="1372"/>
        <w:gridCol w:w="1183"/>
      </w:tblGrid>
      <w:tr w:rsidR="00684A94" w:rsidRPr="002B6D7D" w:rsidTr="008D5539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bookmarkStart w:id="7" w:name="n185"/>
            <w:bookmarkStart w:id="8" w:name="n186"/>
            <w:bookmarkEnd w:id="7"/>
            <w:bookmarkEnd w:id="8"/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Разом за рік (стартовий)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684A94" w:rsidRPr="002B6D7D" w:rsidTr="008D5539">
        <w:tc>
          <w:tcPr>
            <w:tcW w:w="139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684A94">
            <w:pPr>
              <w:spacing w:before="20" w:after="20" w:line="240" w:lineRule="auto"/>
              <w:ind w:left="130" w:right="201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та інших послуг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(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проведення наукових, інших експертиз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, страхування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тощо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84A94" w:rsidP="004D512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Оформлення 1 опису справ (складання титульного аркуш</w:t>
            </w:r>
            <w:r w:rsidR="00D20BC8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, змісту, підсумкового запису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)</w:t>
            </w:r>
            <w:r w:rsidR="004D512F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– 72,00 грн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4D512F" w:rsidP="00684A9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4D512F" w:rsidP="00684A9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72,00 грн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4D512F" w:rsidP="00684A9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360,00</w:t>
            </w:r>
          </w:p>
        </w:tc>
      </w:tr>
    </w:tbl>
    <w:p w:rsidR="00740293" w:rsidRDefault="00740293" w:rsidP="008D5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171A1E" w:themeColor="text1" w:themeShade="80"/>
          <w:kern w:val="0"/>
          <w:sz w:val="24"/>
          <w:szCs w:val="24"/>
          <w:lang w:val="en-US" w:eastAsia="uk-UA"/>
        </w:rPr>
        <w:sectPr w:rsidR="00740293" w:rsidSect="00740293">
          <w:type w:val="continuous"/>
          <w:pgSz w:w="11906" w:h="16838"/>
          <w:pgMar w:top="850" w:right="850" w:bottom="850" w:left="1417" w:header="680" w:footer="680" w:gutter="0"/>
          <w:cols w:space="708"/>
          <w:titlePg/>
          <w:docGrid w:linePitch="360"/>
        </w:sectPr>
      </w:pPr>
      <w:bookmarkStart w:id="9" w:name="n187"/>
      <w:bookmarkEnd w:id="9"/>
    </w:p>
    <w:p w:rsidR="00654EDD" w:rsidRPr="00654EDD" w:rsidRDefault="00654EDD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748"/>
        <w:gridCol w:w="1972"/>
        <w:gridCol w:w="2070"/>
        <w:gridCol w:w="1873"/>
      </w:tblGrid>
      <w:tr w:rsidR="00AD065D" w:rsidRPr="002B6D7D" w:rsidTr="008D5539"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За рік (стартовий)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Періодичні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br/>
              <w:t>(за наступний рік)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AD065D" w:rsidRPr="002B6D7D" w:rsidTr="008D5539">
        <w:tc>
          <w:tcPr>
            <w:tcW w:w="193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ind w:left="130" w:right="188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6D4F70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740293" w:rsidRDefault="00740293" w:rsidP="008D5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171A1E" w:themeColor="text1" w:themeShade="80"/>
          <w:kern w:val="0"/>
          <w:sz w:val="24"/>
          <w:szCs w:val="24"/>
          <w:lang w:val="en-US" w:eastAsia="uk-UA"/>
        </w:rPr>
        <w:sectPr w:rsidR="00740293" w:rsidSect="00740293">
          <w:type w:val="continuous"/>
          <w:pgSz w:w="11906" w:h="16838"/>
          <w:pgMar w:top="850" w:right="850" w:bottom="850" w:left="1417" w:header="680" w:footer="680" w:gutter="0"/>
          <w:cols w:space="708"/>
          <w:titlePg/>
          <w:docGrid w:linePitch="360"/>
        </w:sectPr>
      </w:pPr>
      <w:bookmarkStart w:id="10" w:name="n188"/>
      <w:bookmarkEnd w:id="10"/>
    </w:p>
    <w:p w:rsidR="00654EDD" w:rsidRPr="00654EDD" w:rsidRDefault="00654EDD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553"/>
        <w:gridCol w:w="4555"/>
        <w:gridCol w:w="2555"/>
      </w:tblGrid>
      <w:tr w:rsidR="002C256E" w:rsidRPr="002B6D7D" w:rsidTr="008D5539"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2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br/>
              <w:t>п’ять років</w:t>
            </w:r>
          </w:p>
        </w:tc>
      </w:tr>
      <w:tr w:rsidR="002C256E" w:rsidRPr="002B6D7D" w:rsidTr="008D5539">
        <w:tc>
          <w:tcPr>
            <w:tcW w:w="132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AD065D" w:rsidP="00537588">
            <w:pPr>
              <w:spacing w:before="100" w:after="100" w:line="240" w:lineRule="auto"/>
              <w:ind w:left="130" w:right="14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із наймом додаткового персоналу</w:t>
            </w:r>
          </w:p>
        </w:tc>
        <w:tc>
          <w:tcPr>
            <w:tcW w:w="235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576949" w:rsidP="00537588">
            <w:pPr>
              <w:spacing w:before="100" w:after="100" w:line="240" w:lineRule="auto"/>
              <w:ind w:left="117" w:right="193"/>
              <w:jc w:val="both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val="ru-RU" w:eastAsia="uk-UA"/>
              </w:rPr>
              <w:t>2</w:t>
            </w:r>
            <w:r w:rsidR="00041A83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1 882,00 грн (середньомісячна зарплата у Чернігівської області </w:t>
            </w:r>
            <w:proofErr w:type="gramStart"/>
            <w:r w:rsidR="00041A83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</w:t>
            </w:r>
            <w:proofErr w:type="gramEnd"/>
            <w:r w:rsidR="00041A83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січні 2026 *) / 22 робочі дні / 8 годин = 124,40 грн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65D" w:rsidRPr="002B6D7D" w:rsidRDefault="00041A83" w:rsidP="00537588">
            <w:pPr>
              <w:spacing w:before="100" w:after="100" w:line="240" w:lineRule="auto"/>
              <w:ind w:left="54" w:right="126"/>
              <w:jc w:val="both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124,40</w:t>
            </w:r>
            <w:r w:rsidR="00445E84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грн</w:t>
            </w:r>
            <w:r w:rsidR="00445E84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</w:t>
            </w:r>
            <w:r w:rsidR="007A4617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х</w:t>
            </w:r>
            <w:r w:rsidR="00445E84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</w:t>
            </w:r>
            <w:r w:rsidR="007A4617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5 років</w:t>
            </w:r>
            <w:r w:rsidR="00445E84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</w:t>
            </w:r>
            <w:r w:rsidR="007A4617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= 622,00 грн</w:t>
            </w:r>
            <w:r w:rsidR="00BA045A"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*</w:t>
            </w:r>
          </w:p>
        </w:tc>
      </w:tr>
    </w:tbl>
    <w:p w:rsidR="00BA045A" w:rsidRPr="002B6D7D" w:rsidRDefault="00BA045A" w:rsidP="006D4F70">
      <w:pPr>
        <w:spacing w:before="120" w:after="20" w:line="240" w:lineRule="auto"/>
        <w:rPr>
          <w:rFonts w:ascii="Times New Roman" w:eastAsia="Times New Roman" w:hAnsi="Times New Roman" w:cs="Times New Roman"/>
          <w:color w:val="171A1E" w:themeColor="text1" w:themeShade="80"/>
          <w:kern w:val="0"/>
          <w:sz w:val="24"/>
          <w:szCs w:val="24"/>
          <w:lang w:eastAsia="uk-UA"/>
        </w:rPr>
      </w:pPr>
      <w:bookmarkStart w:id="11" w:name="n232"/>
      <w:bookmarkEnd w:id="11"/>
      <w:r w:rsidRPr="002B6D7D">
        <w:rPr>
          <w:rFonts w:ascii="Times New Roman" w:eastAsia="Times New Roman" w:hAnsi="Times New Roman" w:cs="Times New Roman"/>
          <w:color w:val="171A1E" w:themeColor="text1" w:themeShade="80"/>
          <w:kern w:val="0"/>
          <w:sz w:val="24"/>
          <w:szCs w:val="24"/>
          <w:lang w:eastAsia="uk-UA"/>
        </w:rPr>
        <w:t xml:space="preserve">*Джерело інформації: </w:t>
      </w:r>
      <w:hyperlink r:id="rId9" w:history="1">
        <w:r w:rsidRPr="002B6D7D">
          <w:rPr>
            <w:rStyle w:val="af1"/>
            <w:rFonts w:ascii="Times New Roman" w:eastAsia="Times New Roman" w:hAnsi="Times New Roman" w:cs="Times New Roman"/>
            <w:color w:val="171A1E" w:themeColor="text1" w:themeShade="80"/>
            <w:kern w:val="0"/>
            <w:sz w:val="24"/>
            <w:szCs w:val="24"/>
            <w:lang w:eastAsia="uk-UA"/>
          </w:rPr>
          <w:t>https://index.minfin.com.ua/ua/labour/salary/average/</w:t>
        </w:r>
      </w:hyperlink>
    </w:p>
    <w:p w:rsidR="00740293" w:rsidRDefault="00740293" w:rsidP="00445E84">
      <w:pPr>
        <w:spacing w:before="20" w:after="20" w:line="240" w:lineRule="auto"/>
        <w:rPr>
          <w:rFonts w:ascii="Times New Roman" w:eastAsia="Times New Roman" w:hAnsi="Times New Roman" w:cs="Times New Roman"/>
          <w:color w:val="171A1E" w:themeColor="text1" w:themeShade="80"/>
          <w:kern w:val="0"/>
          <w:sz w:val="24"/>
          <w:szCs w:val="24"/>
          <w:lang w:eastAsia="uk-UA"/>
        </w:rPr>
        <w:sectPr w:rsidR="00740293" w:rsidSect="00740293">
          <w:type w:val="continuous"/>
          <w:pgSz w:w="11906" w:h="16838"/>
          <w:pgMar w:top="850" w:right="850" w:bottom="850" w:left="1417" w:header="680" w:footer="680" w:gutter="0"/>
          <w:cols w:space="708"/>
          <w:titlePg/>
          <w:docGrid w:linePitch="360"/>
        </w:sect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7"/>
        <w:gridCol w:w="4992"/>
      </w:tblGrid>
      <w:tr w:rsidR="00740293" w:rsidRPr="002B6D7D" w:rsidTr="00654D90">
        <w:tc>
          <w:tcPr>
            <w:tcW w:w="4647" w:type="dxa"/>
          </w:tcPr>
          <w:p w:rsidR="00740293" w:rsidRPr="002B6D7D" w:rsidRDefault="00740293" w:rsidP="00654D90">
            <w:pPr>
              <w:ind w:right="450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992" w:type="dxa"/>
          </w:tcPr>
          <w:p w:rsidR="00740293" w:rsidRPr="002B6D7D" w:rsidRDefault="00740293" w:rsidP="00654D90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Продовження додатка 1</w:t>
            </w:r>
          </w:p>
        </w:tc>
      </w:tr>
    </w:tbl>
    <w:p w:rsidR="00740293" w:rsidRPr="004E5731" w:rsidRDefault="00740293" w:rsidP="00740293">
      <w:pPr>
        <w:rPr>
          <w:rFonts w:ascii="Times New Roman" w:hAnsi="Times New Roman" w:cs="Times New Roman"/>
          <w:color w:val="171A1E" w:themeColor="text1" w:themeShade="80"/>
          <w:sz w:val="14"/>
          <w:szCs w:val="14"/>
        </w:rPr>
      </w:pPr>
    </w:p>
    <w:p w:rsidR="004E5731" w:rsidRPr="002B6D7D" w:rsidRDefault="004E5731" w:rsidP="004E5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</w:pPr>
      <w:r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>ВИТРАТИ</w:t>
      </w:r>
    </w:p>
    <w:p w:rsidR="004E5731" w:rsidRPr="002B6D7D" w:rsidRDefault="004E5731" w:rsidP="004E5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</w:pPr>
      <w:r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>на одного суб’єкта господарювання великого і середнього підприємництва,       які виникають внаслідок дії регуляторного акта</w:t>
      </w:r>
    </w:p>
    <w:p w:rsidR="004E5731" w:rsidRPr="002B6D7D" w:rsidRDefault="004E5731" w:rsidP="004E573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</w:pPr>
      <w:r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>за Альтернативою </w:t>
      </w:r>
      <w:r w:rsidR="00F178DB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>1</w:t>
      </w:r>
      <w:r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 xml:space="preserve"> (</w:t>
      </w:r>
      <w:r w:rsidR="00F178DB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 xml:space="preserve">відсутність </w:t>
      </w:r>
      <w:r w:rsidRPr="002B6D7D">
        <w:rPr>
          <w:rFonts w:ascii="Times New Roman" w:hAnsi="Times New Roman" w:cs="Times New Roman"/>
          <w:b/>
          <w:bCs/>
          <w:iCs/>
          <w:color w:val="171A1E" w:themeColor="text1" w:themeShade="80"/>
          <w:sz w:val="26"/>
          <w:szCs w:val="26"/>
          <w:lang w:eastAsia="ru-RU"/>
        </w:rPr>
        <w:t>регул</w:t>
      </w:r>
      <w:r w:rsidR="00F178DB">
        <w:rPr>
          <w:rFonts w:ascii="Times New Roman" w:hAnsi="Times New Roman" w:cs="Times New Roman"/>
          <w:b/>
          <w:bCs/>
          <w:iCs/>
          <w:color w:val="171A1E" w:themeColor="text1" w:themeShade="80"/>
          <w:sz w:val="26"/>
          <w:szCs w:val="26"/>
          <w:lang w:eastAsia="ru-RU"/>
        </w:rPr>
        <w:t>ювання</w:t>
      </w:r>
      <w:r w:rsidRPr="002B6D7D">
        <w:rPr>
          <w:rFonts w:ascii="Times New Roman" w:eastAsia="Times New Roman" w:hAnsi="Times New Roman" w:cs="Times New Roman"/>
          <w:b/>
          <w:bCs/>
          <w:color w:val="171A1E" w:themeColor="text1" w:themeShade="80"/>
          <w:kern w:val="0"/>
          <w:sz w:val="26"/>
          <w:szCs w:val="26"/>
          <w:lang w:eastAsia="uk-UA"/>
        </w:rPr>
        <w:t>)</w:t>
      </w:r>
    </w:p>
    <w:tbl>
      <w:tblPr>
        <w:tblW w:w="5000" w:type="pct"/>
        <w:jc w:val="center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78"/>
        <w:gridCol w:w="5819"/>
        <w:gridCol w:w="1183"/>
        <w:gridCol w:w="1183"/>
      </w:tblGrid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3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За перший рік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За п’ять років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1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придбання основних фондів, обладнання та приладів, сервісне обслуговування, навчання / підвищення кваліфікації персоналу тощо, гривень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та інших послуг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(проведення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наукових, інших експертиз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, страхування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тощо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із наймом додаткового персоналу,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Інше (опрацювання та підписання договору на отримання послуги),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РАЗОМ (сума рядків: 1 + 2 + 3 + 4 + 5 + 6 + 7 + 8),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359</w:t>
            </w:r>
          </w:p>
        </w:tc>
      </w:tr>
      <w:tr w:rsidR="004E5731" w:rsidRPr="002B6D7D" w:rsidTr="00654D90">
        <w:trPr>
          <w:jc w:val="center"/>
        </w:trPr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7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0,00</w:t>
            </w:r>
          </w:p>
        </w:tc>
      </w:tr>
    </w:tbl>
    <w:p w:rsidR="004E5731" w:rsidRPr="00654EDD" w:rsidRDefault="004E5731" w:rsidP="004E5731">
      <w:pPr>
        <w:rPr>
          <w:sz w:val="14"/>
          <w:szCs w:val="14"/>
        </w:rPr>
      </w:pPr>
    </w:p>
    <w:p w:rsidR="004E5731" w:rsidRDefault="004E5731" w:rsidP="004E5731">
      <w:pPr>
        <w:rPr>
          <w:sz w:val="14"/>
          <w:szCs w:val="14"/>
        </w:rPr>
      </w:pPr>
    </w:p>
    <w:p w:rsidR="004E5731" w:rsidRDefault="004E5731" w:rsidP="004E5731">
      <w:pPr>
        <w:rPr>
          <w:sz w:val="14"/>
          <w:szCs w:val="14"/>
        </w:rPr>
      </w:pPr>
    </w:p>
    <w:p w:rsidR="004E5731" w:rsidRPr="00654EDD" w:rsidRDefault="004E5731" w:rsidP="004E5731">
      <w:pPr>
        <w:rPr>
          <w:sz w:val="14"/>
          <w:szCs w:val="14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7"/>
        <w:gridCol w:w="4992"/>
      </w:tblGrid>
      <w:tr w:rsidR="004E5731" w:rsidRPr="002B6D7D" w:rsidTr="00654D90">
        <w:tc>
          <w:tcPr>
            <w:tcW w:w="4647" w:type="dxa"/>
          </w:tcPr>
          <w:p w:rsidR="004E5731" w:rsidRPr="002B6D7D" w:rsidRDefault="004E5731" w:rsidP="00654D90">
            <w:pPr>
              <w:ind w:right="450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992" w:type="dxa"/>
          </w:tcPr>
          <w:p w:rsidR="004E5731" w:rsidRPr="002B6D7D" w:rsidRDefault="004E5731" w:rsidP="00654D90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Продовження додатка 1</w:t>
            </w:r>
          </w:p>
        </w:tc>
      </w:tr>
    </w:tbl>
    <w:p w:rsidR="004E5731" w:rsidRPr="00F178DB" w:rsidRDefault="004E5731" w:rsidP="004E5731">
      <w:pPr>
        <w:shd w:val="clear" w:color="auto" w:fill="FFFFFF"/>
        <w:spacing w:after="240" w:line="240" w:lineRule="auto"/>
        <w:ind w:left="450" w:right="450"/>
        <w:jc w:val="center"/>
        <w:rPr>
          <w:rFonts w:ascii="Times New Roman" w:eastAsia="Times New Roman" w:hAnsi="Times New Roman" w:cs="Times New Roman"/>
          <w:color w:val="171A1E" w:themeColor="text1" w:themeShade="80"/>
          <w:kern w:val="0"/>
          <w:sz w:val="14"/>
          <w:szCs w:val="14"/>
          <w:lang w:eastAsia="uk-UA"/>
        </w:rPr>
      </w:pPr>
    </w:p>
    <w:p w:rsidR="004E5731" w:rsidRPr="000C2646" w:rsidRDefault="004E5731" w:rsidP="004E5731">
      <w:pPr>
        <w:shd w:val="clear" w:color="auto" w:fill="FFFFFF"/>
        <w:tabs>
          <w:tab w:val="left" w:pos="9639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71A1E" w:themeColor="text1" w:themeShade="80"/>
          <w:kern w:val="0"/>
          <w:sz w:val="26"/>
          <w:szCs w:val="26"/>
          <w:lang w:eastAsia="uk-UA"/>
        </w:rPr>
      </w:pPr>
      <w:r w:rsidRPr="000C2646">
        <w:rPr>
          <w:rFonts w:ascii="Times New Roman" w:eastAsia="Times New Roman" w:hAnsi="Times New Roman" w:cs="Times New Roman"/>
          <w:b/>
          <w:color w:val="171A1E" w:themeColor="text1" w:themeShade="80"/>
          <w:kern w:val="0"/>
          <w:sz w:val="26"/>
          <w:szCs w:val="26"/>
          <w:lang w:eastAsia="uk-UA"/>
        </w:rPr>
        <w:t>Розрахунок відповідних витрат на одного суб’єкта господарювання</w:t>
      </w: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683"/>
        <w:gridCol w:w="1693"/>
        <w:gridCol w:w="1693"/>
        <w:gridCol w:w="1594"/>
      </w:tblGrid>
      <w:tr w:rsidR="004E5731" w:rsidRPr="002B6D7D" w:rsidTr="00654D90"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У перший рік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731" w:rsidRPr="002B6D7D" w:rsidRDefault="004E5731" w:rsidP="00654D90">
            <w:pPr>
              <w:pStyle w:val="af3"/>
              <w:spacing w:before="60" w:after="60"/>
              <w:jc w:val="center"/>
              <w:rPr>
                <w:kern w:val="0"/>
                <w:lang w:eastAsia="uk-UA"/>
              </w:rPr>
            </w:pPr>
            <w:r w:rsidRPr="00B700A2">
              <w:rPr>
                <w:rFonts w:ascii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Періодичні</w:t>
            </w:r>
            <w:r>
              <w:rPr>
                <w:rFonts w:ascii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val="en-US" w:eastAsia="uk-UA"/>
              </w:rPr>
              <w:t xml:space="preserve">     </w:t>
            </w:r>
            <w:r w:rsidRPr="00B700A2">
              <w:rPr>
                <w:rFonts w:ascii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(за рік)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4E5731" w:rsidRPr="002B6D7D" w:rsidTr="00654D90">
        <w:tc>
          <w:tcPr>
            <w:tcW w:w="235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130" w:right="120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4E5731" w:rsidRPr="00654EDD" w:rsidRDefault="004E5731" w:rsidP="004E5731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66"/>
        <w:gridCol w:w="3544"/>
        <w:gridCol w:w="1853"/>
      </w:tblGrid>
      <w:tr w:rsidR="004E5731" w:rsidRPr="002B6D7D" w:rsidTr="00654D90">
        <w:tc>
          <w:tcPr>
            <w:tcW w:w="2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1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4E5731" w:rsidRPr="002B6D7D" w:rsidTr="00654D90">
        <w:tc>
          <w:tcPr>
            <w:tcW w:w="220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130" w:right="117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183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4E5731" w:rsidRPr="00654EDD" w:rsidRDefault="004E5731" w:rsidP="004E5731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961"/>
        <w:gridCol w:w="1774"/>
        <w:gridCol w:w="1774"/>
        <w:gridCol w:w="1676"/>
        <w:gridCol w:w="1478"/>
      </w:tblGrid>
      <w:tr w:rsidR="004E5731" w:rsidRPr="002B6D7D" w:rsidTr="00654D90"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ведення обліку, підготовку та подання звітності (за рік)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оплату штрафних санкцій за рік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4E5731" w:rsidRPr="002B6D7D" w:rsidTr="00654D90">
        <w:tc>
          <w:tcPr>
            <w:tcW w:w="153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130" w:right="105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4E5731" w:rsidRPr="00654EDD" w:rsidRDefault="004E5731" w:rsidP="004E5731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058"/>
        <w:gridCol w:w="2367"/>
        <w:gridCol w:w="1676"/>
        <w:gridCol w:w="1281"/>
        <w:gridCol w:w="1281"/>
      </w:tblGrid>
      <w:tr w:rsidR="004E5731" w:rsidRPr="002B6D7D" w:rsidTr="00654D90">
        <w:tc>
          <w:tcPr>
            <w:tcW w:w="1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4E5731" w:rsidRPr="002B6D7D" w:rsidTr="00654D90">
        <w:tc>
          <w:tcPr>
            <w:tcW w:w="158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ind w:left="130" w:right="201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</w:t>
            </w: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val="ru-RU" w:eastAsia="uk-UA"/>
              </w:rPr>
              <w:t xml:space="preserve">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/ приписів тощо)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4E5731" w:rsidRDefault="004E5731" w:rsidP="004E5731">
      <w:pPr>
        <w:rPr>
          <w:sz w:val="14"/>
          <w:szCs w:val="14"/>
        </w:rPr>
      </w:pPr>
    </w:p>
    <w:p w:rsidR="00F178DB" w:rsidRPr="00654EDD" w:rsidRDefault="00F178DB" w:rsidP="004E5731">
      <w:pPr>
        <w:rPr>
          <w:sz w:val="14"/>
          <w:szCs w:val="14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7"/>
        <w:gridCol w:w="4992"/>
      </w:tblGrid>
      <w:tr w:rsidR="004E5731" w:rsidRPr="002B6D7D" w:rsidTr="00654D90">
        <w:tc>
          <w:tcPr>
            <w:tcW w:w="4647" w:type="dxa"/>
          </w:tcPr>
          <w:p w:rsidR="004E5731" w:rsidRPr="002B6D7D" w:rsidRDefault="004E5731" w:rsidP="00654D90">
            <w:pPr>
              <w:ind w:right="450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992" w:type="dxa"/>
          </w:tcPr>
          <w:p w:rsidR="004E5731" w:rsidRPr="002B6D7D" w:rsidRDefault="004E5731" w:rsidP="00654D90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Продовження додатка 1</w:t>
            </w:r>
          </w:p>
        </w:tc>
      </w:tr>
    </w:tbl>
    <w:p w:rsidR="004E5731" w:rsidRPr="00654EDD" w:rsidRDefault="004E5731" w:rsidP="004E5731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697"/>
        <w:gridCol w:w="2418"/>
        <w:gridCol w:w="1993"/>
        <w:gridCol w:w="1372"/>
        <w:gridCol w:w="1183"/>
      </w:tblGrid>
      <w:tr w:rsidR="004E5731" w:rsidRPr="002B6D7D" w:rsidTr="00654D9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Разом за рік (стартовий)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4E5731" w:rsidRPr="002B6D7D" w:rsidTr="00654D90">
        <w:tc>
          <w:tcPr>
            <w:tcW w:w="139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20" w:after="20" w:line="240" w:lineRule="auto"/>
              <w:ind w:left="130" w:right="201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та інших послуг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 (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проведення наукових, інших експертиз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 xml:space="preserve">, страхування 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u w:val="single"/>
                <w:lang w:eastAsia="uk-UA"/>
              </w:rPr>
              <w:t>тощо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654D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4E5731" w:rsidRPr="00654EDD" w:rsidRDefault="004E5731" w:rsidP="004E5731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748"/>
        <w:gridCol w:w="1972"/>
        <w:gridCol w:w="2070"/>
        <w:gridCol w:w="1873"/>
      </w:tblGrid>
      <w:tr w:rsidR="004E5731" w:rsidRPr="002B6D7D" w:rsidTr="00654D90"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За рік (стартовий)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Періодичні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br/>
              <w:t>(за наступний рік)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 п’ять років</w:t>
            </w:r>
          </w:p>
        </w:tc>
      </w:tr>
      <w:tr w:rsidR="004E5731" w:rsidRPr="002B6D7D" w:rsidTr="00654D90">
        <w:tc>
          <w:tcPr>
            <w:tcW w:w="193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ind w:left="130" w:right="188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4E5731" w:rsidRPr="00654EDD" w:rsidRDefault="004E5731" w:rsidP="004E5731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553"/>
        <w:gridCol w:w="4555"/>
        <w:gridCol w:w="2555"/>
      </w:tblGrid>
      <w:tr w:rsidR="004E5731" w:rsidRPr="002B6D7D" w:rsidTr="00654D90"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Вид витрат</w:t>
            </w:r>
          </w:p>
        </w:tc>
        <w:tc>
          <w:tcPr>
            <w:tcW w:w="2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 за</w:t>
            </w: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br/>
              <w:t>п’ять років</w:t>
            </w:r>
          </w:p>
        </w:tc>
      </w:tr>
      <w:tr w:rsidR="004E5731" w:rsidRPr="002B6D7D" w:rsidTr="00654D90">
        <w:tc>
          <w:tcPr>
            <w:tcW w:w="132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4E5731" w:rsidP="00654D90">
            <w:pPr>
              <w:spacing w:before="100" w:after="100" w:line="240" w:lineRule="auto"/>
              <w:ind w:left="130" w:right="142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 w:rsidRPr="002B6D7D"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Витрати, пов’язані із наймом додаткового персоналу</w:t>
            </w:r>
          </w:p>
        </w:tc>
        <w:tc>
          <w:tcPr>
            <w:tcW w:w="235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F178DB">
            <w:pPr>
              <w:spacing w:before="100" w:after="100" w:line="240" w:lineRule="auto"/>
              <w:ind w:left="117" w:right="193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731" w:rsidRPr="002B6D7D" w:rsidRDefault="00F178DB" w:rsidP="00F178DB">
            <w:pPr>
              <w:spacing w:before="100" w:after="100" w:line="240" w:lineRule="auto"/>
              <w:ind w:left="54" w:right="126"/>
              <w:jc w:val="center"/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A1E" w:themeColor="text1" w:themeShade="80"/>
                <w:kern w:val="0"/>
                <w:sz w:val="24"/>
                <w:szCs w:val="24"/>
                <w:lang w:eastAsia="uk-UA"/>
              </w:rPr>
              <w:t>-</w:t>
            </w:r>
          </w:p>
        </w:tc>
      </w:tr>
    </w:tbl>
    <w:p w:rsidR="004E5731" w:rsidRPr="00F178DB" w:rsidRDefault="004E5731" w:rsidP="0074029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171A1E" w:themeColor="text1" w:themeShade="80"/>
          <w:kern w:val="0"/>
          <w:sz w:val="14"/>
          <w:szCs w:val="14"/>
          <w:lang w:eastAsia="uk-UA"/>
        </w:rPr>
      </w:pPr>
    </w:p>
    <w:sectPr w:rsidR="004E5731" w:rsidRPr="00F178DB" w:rsidSect="00740293">
      <w:headerReference w:type="default" r:id="rId10"/>
      <w:headerReference w:type="first" r:id="rId11"/>
      <w:pgSz w:w="11906" w:h="16838"/>
      <w:pgMar w:top="850" w:right="850" w:bottom="850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CA2" w:rsidRDefault="00A36CA2" w:rsidP="003462A6">
      <w:pPr>
        <w:spacing w:after="0" w:line="240" w:lineRule="auto"/>
      </w:pPr>
      <w:r>
        <w:separator/>
      </w:r>
    </w:p>
  </w:endnote>
  <w:endnote w:type="continuationSeparator" w:id="0">
    <w:p w:rsidR="00A36CA2" w:rsidRDefault="00A36CA2" w:rsidP="0034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CA2" w:rsidRDefault="00A36CA2" w:rsidP="003462A6">
      <w:pPr>
        <w:spacing w:after="0" w:line="240" w:lineRule="auto"/>
      </w:pPr>
      <w:r>
        <w:separator/>
      </w:r>
    </w:p>
  </w:footnote>
  <w:footnote w:type="continuationSeparator" w:id="0">
    <w:p w:rsidR="00A36CA2" w:rsidRDefault="00A36CA2" w:rsidP="0034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1373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4364" w:rsidRDefault="00433128" w:rsidP="00CE32F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53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62A6" w:rsidRPr="002353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53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78D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353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462A6" w:rsidRPr="00CE32F3" w:rsidRDefault="00433128" w:rsidP="00CE32F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372" w:rsidRDefault="00890372">
    <w:pPr>
      <w:pStyle w:val="ad"/>
    </w:pPr>
  </w:p>
  <w:p w:rsidR="00890372" w:rsidRDefault="0089037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2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5731" w:rsidRDefault="004E5731" w:rsidP="00CE32F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53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53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53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78D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353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4E5731" w:rsidRPr="00CE32F3" w:rsidRDefault="004E5731" w:rsidP="00CE32F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731" w:rsidRDefault="004E5731">
    <w:pPr>
      <w:pStyle w:val="ad"/>
    </w:pPr>
  </w:p>
  <w:p w:rsidR="004E5731" w:rsidRDefault="004E5731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8185D"/>
    <w:rsid w:val="00022628"/>
    <w:rsid w:val="00024B19"/>
    <w:rsid w:val="000409AA"/>
    <w:rsid w:val="00041067"/>
    <w:rsid w:val="00041A83"/>
    <w:rsid w:val="0005752F"/>
    <w:rsid w:val="00082D42"/>
    <w:rsid w:val="000907BA"/>
    <w:rsid w:val="000C2646"/>
    <w:rsid w:val="000D4EEC"/>
    <w:rsid w:val="001055E0"/>
    <w:rsid w:val="00175068"/>
    <w:rsid w:val="00185FAD"/>
    <w:rsid w:val="001E2F33"/>
    <w:rsid w:val="00201298"/>
    <w:rsid w:val="0020675C"/>
    <w:rsid w:val="00214833"/>
    <w:rsid w:val="002353FF"/>
    <w:rsid w:val="0025334B"/>
    <w:rsid w:val="002647F8"/>
    <w:rsid w:val="00294424"/>
    <w:rsid w:val="002B6D7D"/>
    <w:rsid w:val="002C256E"/>
    <w:rsid w:val="002C6CAF"/>
    <w:rsid w:val="002D3AB1"/>
    <w:rsid w:val="00300FA3"/>
    <w:rsid w:val="00314B39"/>
    <w:rsid w:val="00322931"/>
    <w:rsid w:val="003462A6"/>
    <w:rsid w:val="00352ACD"/>
    <w:rsid w:val="003827E4"/>
    <w:rsid w:val="003C1EED"/>
    <w:rsid w:val="003D13EA"/>
    <w:rsid w:val="003D37CB"/>
    <w:rsid w:val="003F060C"/>
    <w:rsid w:val="00433128"/>
    <w:rsid w:val="004356BF"/>
    <w:rsid w:val="00445E84"/>
    <w:rsid w:val="0045486C"/>
    <w:rsid w:val="0045560C"/>
    <w:rsid w:val="00471E30"/>
    <w:rsid w:val="004725C5"/>
    <w:rsid w:val="00481511"/>
    <w:rsid w:val="00491666"/>
    <w:rsid w:val="004D512F"/>
    <w:rsid w:val="004D621D"/>
    <w:rsid w:val="004E5731"/>
    <w:rsid w:val="004F0CBC"/>
    <w:rsid w:val="005367F7"/>
    <w:rsid w:val="00537588"/>
    <w:rsid w:val="00576949"/>
    <w:rsid w:val="005B433A"/>
    <w:rsid w:val="005E1CFC"/>
    <w:rsid w:val="00601F62"/>
    <w:rsid w:val="00610E47"/>
    <w:rsid w:val="006239AE"/>
    <w:rsid w:val="00624358"/>
    <w:rsid w:val="00654EDD"/>
    <w:rsid w:val="006734A5"/>
    <w:rsid w:val="00684A94"/>
    <w:rsid w:val="006903C0"/>
    <w:rsid w:val="006C3F8D"/>
    <w:rsid w:val="006D4F70"/>
    <w:rsid w:val="006D5985"/>
    <w:rsid w:val="006D7F01"/>
    <w:rsid w:val="006F4805"/>
    <w:rsid w:val="00705734"/>
    <w:rsid w:val="007177BE"/>
    <w:rsid w:val="00740293"/>
    <w:rsid w:val="00764AA5"/>
    <w:rsid w:val="007A4617"/>
    <w:rsid w:val="007E4E03"/>
    <w:rsid w:val="008231B7"/>
    <w:rsid w:val="008332EF"/>
    <w:rsid w:val="0086119D"/>
    <w:rsid w:val="0087654D"/>
    <w:rsid w:val="00890372"/>
    <w:rsid w:val="00895B8C"/>
    <w:rsid w:val="008D5539"/>
    <w:rsid w:val="008D6771"/>
    <w:rsid w:val="009065A6"/>
    <w:rsid w:val="00912A28"/>
    <w:rsid w:val="009208D5"/>
    <w:rsid w:val="00950CC6"/>
    <w:rsid w:val="00956F90"/>
    <w:rsid w:val="00994B12"/>
    <w:rsid w:val="00996705"/>
    <w:rsid w:val="009E36B2"/>
    <w:rsid w:val="009E4D66"/>
    <w:rsid w:val="009F5A40"/>
    <w:rsid w:val="00A113BC"/>
    <w:rsid w:val="00A11DE0"/>
    <w:rsid w:val="00A23698"/>
    <w:rsid w:val="00A300F2"/>
    <w:rsid w:val="00A36CA2"/>
    <w:rsid w:val="00A4504D"/>
    <w:rsid w:val="00A567C1"/>
    <w:rsid w:val="00A84596"/>
    <w:rsid w:val="00AD065D"/>
    <w:rsid w:val="00AE2064"/>
    <w:rsid w:val="00B060ED"/>
    <w:rsid w:val="00B30484"/>
    <w:rsid w:val="00B540F4"/>
    <w:rsid w:val="00B55EB0"/>
    <w:rsid w:val="00B700A2"/>
    <w:rsid w:val="00B8185D"/>
    <w:rsid w:val="00B95D4A"/>
    <w:rsid w:val="00B96962"/>
    <w:rsid w:val="00BA045A"/>
    <w:rsid w:val="00BC0461"/>
    <w:rsid w:val="00C11307"/>
    <w:rsid w:val="00C1771D"/>
    <w:rsid w:val="00CA1E3A"/>
    <w:rsid w:val="00CB21FE"/>
    <w:rsid w:val="00CC49B8"/>
    <w:rsid w:val="00CE1942"/>
    <w:rsid w:val="00CE32F3"/>
    <w:rsid w:val="00CE3647"/>
    <w:rsid w:val="00D04364"/>
    <w:rsid w:val="00D20BC8"/>
    <w:rsid w:val="00D317D0"/>
    <w:rsid w:val="00D35D9B"/>
    <w:rsid w:val="00D411FD"/>
    <w:rsid w:val="00D43CAC"/>
    <w:rsid w:val="00D445D2"/>
    <w:rsid w:val="00D45CB8"/>
    <w:rsid w:val="00D57B6D"/>
    <w:rsid w:val="00D81428"/>
    <w:rsid w:val="00D84C9B"/>
    <w:rsid w:val="00D904A6"/>
    <w:rsid w:val="00DB11EB"/>
    <w:rsid w:val="00DB2214"/>
    <w:rsid w:val="00DB4B8A"/>
    <w:rsid w:val="00DB54CF"/>
    <w:rsid w:val="00DD18FE"/>
    <w:rsid w:val="00DD5CCA"/>
    <w:rsid w:val="00E348FD"/>
    <w:rsid w:val="00E82CA1"/>
    <w:rsid w:val="00EA2BA4"/>
    <w:rsid w:val="00EB3959"/>
    <w:rsid w:val="00EC6A45"/>
    <w:rsid w:val="00EC78E0"/>
    <w:rsid w:val="00EE7BF4"/>
    <w:rsid w:val="00F0511F"/>
    <w:rsid w:val="00F178DB"/>
    <w:rsid w:val="00F32883"/>
    <w:rsid w:val="00F52291"/>
    <w:rsid w:val="00F54A02"/>
    <w:rsid w:val="00F75B1F"/>
    <w:rsid w:val="00FC2AA5"/>
    <w:rsid w:val="00FC5817"/>
    <w:rsid w:val="00FD5FC2"/>
    <w:rsid w:val="00FF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62"/>
  </w:style>
  <w:style w:type="paragraph" w:styleId="1">
    <w:name w:val="heading 1"/>
    <w:basedOn w:val="a"/>
    <w:next w:val="a"/>
    <w:link w:val="10"/>
    <w:uiPriority w:val="9"/>
    <w:qFormat/>
    <w:rsid w:val="00B8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A7A8C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85D"/>
    <w:pPr>
      <w:keepNext/>
      <w:keepLines/>
      <w:spacing w:before="40" w:after="0"/>
      <w:outlineLvl w:val="6"/>
    </w:pPr>
    <w:rPr>
      <w:rFonts w:eastAsiaTheme="majorEastAsia" w:cstheme="majorBidi"/>
      <w:color w:val="6A7A8C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85D"/>
    <w:pPr>
      <w:keepNext/>
      <w:keepLines/>
      <w:spacing w:after="0"/>
      <w:outlineLvl w:val="7"/>
    </w:pPr>
    <w:rPr>
      <w:rFonts w:eastAsiaTheme="majorEastAsia" w:cstheme="majorBidi"/>
      <w:i/>
      <w:iCs/>
      <w:color w:val="48535F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85D"/>
    <w:pPr>
      <w:keepNext/>
      <w:keepLines/>
      <w:spacing w:after="0"/>
      <w:outlineLvl w:val="8"/>
    </w:pPr>
    <w:rPr>
      <w:rFonts w:eastAsiaTheme="majorEastAsia" w:cstheme="majorBidi"/>
      <w:color w:val="48535F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8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8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85D"/>
    <w:rPr>
      <w:rFonts w:eastAsiaTheme="majorEastAsia" w:cstheme="majorBidi"/>
      <w:i/>
      <w:iCs/>
      <w:color w:val="6A7A8C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85D"/>
    <w:rPr>
      <w:rFonts w:eastAsiaTheme="majorEastAsia" w:cstheme="majorBidi"/>
      <w:color w:val="6A7A8C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85D"/>
    <w:rPr>
      <w:rFonts w:eastAsiaTheme="majorEastAsia" w:cstheme="majorBidi"/>
      <w:i/>
      <w:iCs/>
      <w:color w:val="48535F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85D"/>
    <w:rPr>
      <w:rFonts w:eastAsiaTheme="majorEastAsia" w:cstheme="majorBidi"/>
      <w:color w:val="48535F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85D"/>
    <w:pPr>
      <w:numPr>
        <w:ilvl w:val="1"/>
      </w:numPr>
    </w:pPr>
    <w:rPr>
      <w:rFonts w:eastAsiaTheme="majorEastAsia" w:cstheme="majorBidi"/>
      <w:color w:val="6A7A8C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85D"/>
    <w:rPr>
      <w:rFonts w:eastAsiaTheme="majorEastAsia" w:cstheme="majorBidi"/>
      <w:color w:val="6A7A8C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85D"/>
    <w:pPr>
      <w:spacing w:before="160"/>
      <w:jc w:val="center"/>
    </w:pPr>
    <w:rPr>
      <w:i/>
      <w:iCs/>
      <w:color w:val="596776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85D"/>
    <w:rPr>
      <w:i/>
      <w:iCs/>
      <w:color w:val="596776" w:themeColor="text1" w:themeTint="BF"/>
    </w:rPr>
  </w:style>
  <w:style w:type="paragraph" w:styleId="a7">
    <w:name w:val="List Paragraph"/>
    <w:basedOn w:val="a"/>
    <w:uiPriority w:val="34"/>
    <w:qFormat/>
    <w:rsid w:val="00B818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8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8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185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D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3462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462A6"/>
  </w:style>
  <w:style w:type="paragraph" w:styleId="af">
    <w:name w:val="footer"/>
    <w:basedOn w:val="a"/>
    <w:link w:val="af0"/>
    <w:uiPriority w:val="99"/>
    <w:unhideWhenUsed/>
    <w:rsid w:val="003462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462A6"/>
  </w:style>
  <w:style w:type="character" w:styleId="af1">
    <w:name w:val="Hyperlink"/>
    <w:basedOn w:val="a0"/>
    <w:uiPriority w:val="99"/>
    <w:unhideWhenUsed/>
    <w:rsid w:val="00BA04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045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A045A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0226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index.minfin.com.ua/ua/labour/salary/average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00E55-78B6-45BC-96A9-9A1A5691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1165</Words>
  <Characters>6642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Оргсектор Тупичів</dc:creator>
  <cp:keywords/>
  <dc:description/>
  <cp:lastModifiedBy>Сергей</cp:lastModifiedBy>
  <cp:revision>56</cp:revision>
  <dcterms:created xsi:type="dcterms:W3CDTF">2026-04-17T09:24:00Z</dcterms:created>
  <dcterms:modified xsi:type="dcterms:W3CDTF">2026-04-18T10:34:00Z</dcterms:modified>
</cp:coreProperties>
</file>